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附件2：</w:t>
      </w:r>
    </w:p>
    <w:p>
      <w:pPr>
        <w:spacing w:line="540" w:lineRule="exact"/>
        <w:jc w:val="center"/>
        <w:rPr>
          <w:rFonts w:hint="eastAsia" w:ascii="仿宋_GB2312" w:hAnsi="仿宋_GB2312" w:eastAsia="仿宋_GB2312" w:cs="仿宋_GB2312"/>
          <w:b w:val="0"/>
          <w:bCs w:val="0"/>
          <w:kern w:val="0"/>
          <w:sz w:val="32"/>
          <w:szCs w:val="32"/>
        </w:rPr>
      </w:pPr>
    </w:p>
    <w:p>
      <w:pPr>
        <w:spacing w:line="540" w:lineRule="exact"/>
        <w:jc w:val="center"/>
        <w:rPr>
          <w:rFonts w:hint="eastAsia" w:ascii="仿宋_GB2312" w:hAnsi="仿宋_GB2312" w:eastAsia="仿宋_GB2312" w:cs="仿宋_GB2312"/>
          <w:b w:val="0"/>
          <w:bCs w:val="0"/>
          <w:kern w:val="0"/>
          <w:sz w:val="32"/>
          <w:szCs w:val="32"/>
        </w:rPr>
      </w:pPr>
    </w:p>
    <w:p>
      <w:pPr>
        <w:spacing w:line="540" w:lineRule="exact"/>
        <w:jc w:val="center"/>
        <w:rPr>
          <w:rFonts w:hint="eastAsia" w:ascii="仿宋_GB2312" w:hAnsi="仿宋_GB2312" w:eastAsia="仿宋_GB2312" w:cs="仿宋_GB2312"/>
          <w:b w:val="0"/>
          <w:bCs w:val="0"/>
          <w:kern w:val="0"/>
          <w:sz w:val="32"/>
          <w:szCs w:val="32"/>
        </w:rPr>
      </w:pPr>
    </w:p>
    <w:p>
      <w:pPr>
        <w:spacing w:line="540" w:lineRule="exact"/>
        <w:jc w:val="center"/>
        <w:rPr>
          <w:rFonts w:hint="eastAsia" w:ascii="仿宋_GB2312" w:hAnsi="仿宋_GB2312" w:eastAsia="仿宋_GB2312" w:cs="仿宋_GB2312"/>
          <w:b w:val="0"/>
          <w:bCs w:val="0"/>
          <w:kern w:val="0"/>
          <w:sz w:val="32"/>
          <w:szCs w:val="32"/>
        </w:rPr>
      </w:pPr>
    </w:p>
    <w:p>
      <w:pPr>
        <w:spacing w:line="540" w:lineRule="exact"/>
        <w:jc w:val="center"/>
        <w:rPr>
          <w:rFonts w:hint="eastAsia" w:ascii="仿宋_GB2312" w:hAnsi="仿宋_GB2312" w:eastAsia="仿宋_GB2312" w:cs="仿宋_GB2312"/>
          <w:b w:val="0"/>
          <w:bCs w:val="0"/>
          <w:kern w:val="0"/>
          <w:sz w:val="32"/>
          <w:szCs w:val="32"/>
        </w:rPr>
      </w:pPr>
    </w:p>
    <w:p>
      <w:pPr>
        <w:spacing w:line="540" w:lineRule="exact"/>
        <w:jc w:val="center"/>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740" w:lineRule="exact"/>
        <w:jc w:val="center"/>
        <w:textAlignment w:val="auto"/>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自治区财政项目支出绩效自评报告</w:t>
      </w:r>
    </w:p>
    <w:p>
      <w:pPr>
        <w:keepNext w:val="0"/>
        <w:keepLines w:val="0"/>
        <w:pageBreakBefore w:val="0"/>
        <w:widowControl w:val="0"/>
        <w:kinsoku/>
        <w:wordWrap/>
        <w:overflowPunct/>
        <w:topLinePunct w:val="0"/>
        <w:autoSpaceDE/>
        <w:autoSpaceDN/>
        <w:bidi w:val="0"/>
        <w:adjustRightInd/>
        <w:snapToGrid/>
        <w:spacing w:line="74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740" w:lineRule="exact"/>
        <w:jc w:val="center"/>
        <w:textAlignment w:val="auto"/>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 xml:space="preserve">（   </w:t>
      </w:r>
      <w:r>
        <w:rPr>
          <w:rStyle w:val="18"/>
          <w:rFonts w:hint="eastAsia" w:ascii="方正小标宋简体" w:hAnsi="方正小标宋简体" w:eastAsia="方正小标宋简体" w:cs="方正小标宋简体"/>
          <w:b w:val="0"/>
          <w:bCs w:val="0"/>
          <w:spacing w:val="-4"/>
          <w:sz w:val="44"/>
          <w:szCs w:val="44"/>
        </w:rPr>
        <w:t>2022</w:t>
      </w:r>
      <w:r>
        <w:rPr>
          <w:rFonts w:hint="eastAsia" w:ascii="方正小标宋简体" w:hAnsi="方正小标宋简体" w:eastAsia="方正小标宋简体" w:cs="方正小标宋简体"/>
          <w:b w:val="0"/>
          <w:bCs w:val="0"/>
          <w:kern w:val="0"/>
          <w:sz w:val="44"/>
          <w:szCs w:val="44"/>
        </w:rPr>
        <w:t xml:space="preserve">  年度）</w:t>
      </w:r>
    </w:p>
    <w:p>
      <w:pPr>
        <w:keepNext w:val="0"/>
        <w:keepLines w:val="0"/>
        <w:pageBreakBefore w:val="0"/>
        <w:widowControl w:val="0"/>
        <w:kinsoku/>
        <w:wordWrap/>
        <w:overflowPunct/>
        <w:topLinePunct w:val="0"/>
        <w:autoSpaceDE/>
        <w:autoSpaceDN/>
        <w:bidi w:val="0"/>
        <w:adjustRightInd/>
        <w:snapToGrid/>
        <w:spacing w:line="74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74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740" w:lineRule="exact"/>
        <w:jc w:val="center"/>
        <w:textAlignment w:val="auto"/>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参考模板</w:t>
      </w:r>
    </w:p>
    <w:p>
      <w:pPr>
        <w:spacing w:line="540" w:lineRule="exact"/>
        <w:jc w:val="center"/>
        <w:rPr>
          <w:rFonts w:hint="eastAsia" w:ascii="仿宋_GB2312" w:hAnsi="仿宋_GB2312" w:eastAsia="仿宋_GB2312" w:cs="仿宋_GB2312"/>
          <w:b w:val="0"/>
          <w:bCs w:val="0"/>
          <w:kern w:val="0"/>
          <w:sz w:val="32"/>
          <w:szCs w:val="32"/>
        </w:rPr>
      </w:pPr>
    </w:p>
    <w:p>
      <w:pPr>
        <w:spacing w:line="540" w:lineRule="exact"/>
        <w:jc w:val="center"/>
        <w:rPr>
          <w:rFonts w:hint="eastAsia" w:ascii="仿宋_GB2312" w:hAnsi="仿宋_GB2312" w:eastAsia="仿宋_GB2312" w:cs="仿宋_GB2312"/>
          <w:b w:val="0"/>
          <w:bCs w:val="0"/>
          <w:kern w:val="0"/>
          <w:sz w:val="32"/>
          <w:szCs w:val="32"/>
        </w:rPr>
      </w:pPr>
    </w:p>
    <w:p>
      <w:pPr>
        <w:spacing w:line="540" w:lineRule="exact"/>
        <w:rPr>
          <w:rFonts w:hint="eastAsia" w:ascii="仿宋_GB2312" w:hAnsi="仿宋_GB2312" w:eastAsia="仿宋_GB2312" w:cs="仿宋_GB2312"/>
          <w:b w:val="0"/>
          <w:bCs w:val="0"/>
          <w:kern w:val="0"/>
          <w:sz w:val="32"/>
          <w:szCs w:val="32"/>
        </w:rPr>
      </w:pPr>
    </w:p>
    <w:p>
      <w:pPr>
        <w:spacing w:line="700" w:lineRule="exact"/>
        <w:jc w:val="left"/>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800" w:firstLineChars="250"/>
        <w:jc w:val="left"/>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项目名称：</w:t>
      </w:r>
      <w:r>
        <w:rPr>
          <w:rStyle w:val="18"/>
          <w:rFonts w:hint="eastAsia" w:ascii="仿宋_GB2312" w:hAnsi="仿宋_GB2312" w:eastAsia="仿宋_GB2312" w:cs="仿宋_GB2312"/>
          <w:b w:val="0"/>
          <w:bCs w:val="0"/>
          <w:spacing w:val="-4"/>
          <w:sz w:val="32"/>
          <w:szCs w:val="32"/>
        </w:rPr>
        <w:t>第七届中国-亚欧博览会财政补助经费</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 xml:space="preserve">  实施单位（公章）：</w:t>
      </w:r>
      <w:r>
        <w:rPr>
          <w:rStyle w:val="18"/>
          <w:rFonts w:hint="eastAsia" w:ascii="仿宋_GB2312" w:hAnsi="仿宋_GB2312" w:eastAsia="仿宋_GB2312" w:cs="仿宋_GB2312"/>
          <w:b w:val="0"/>
          <w:bCs w:val="0"/>
          <w:spacing w:val="-4"/>
          <w:sz w:val="32"/>
          <w:szCs w:val="32"/>
        </w:rPr>
        <w:t>新疆国际博览事务局</w:t>
      </w:r>
    </w:p>
    <w:p>
      <w:pPr>
        <w:keepNext w:val="0"/>
        <w:keepLines w:val="0"/>
        <w:pageBreakBefore w:val="0"/>
        <w:widowControl w:val="0"/>
        <w:kinsoku/>
        <w:wordWrap/>
        <w:overflowPunct/>
        <w:topLinePunct w:val="0"/>
        <w:autoSpaceDE/>
        <w:autoSpaceDN/>
        <w:bidi w:val="0"/>
        <w:adjustRightInd/>
        <w:snapToGrid/>
        <w:spacing w:line="560" w:lineRule="exact"/>
        <w:ind w:firstLine="800" w:firstLineChars="250"/>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主管部门（公章）：</w:t>
      </w:r>
      <w:r>
        <w:rPr>
          <w:rStyle w:val="18"/>
          <w:rFonts w:hint="eastAsia" w:ascii="仿宋_GB2312" w:hAnsi="仿宋_GB2312" w:eastAsia="仿宋_GB2312" w:cs="仿宋_GB2312"/>
          <w:b w:val="0"/>
          <w:bCs w:val="0"/>
          <w:spacing w:val="-4"/>
          <w:sz w:val="32"/>
          <w:szCs w:val="32"/>
        </w:rPr>
        <w:t>新疆国际博览事务局</w:t>
      </w:r>
    </w:p>
    <w:p>
      <w:pPr>
        <w:keepNext w:val="0"/>
        <w:keepLines w:val="0"/>
        <w:pageBreakBefore w:val="0"/>
        <w:widowControl w:val="0"/>
        <w:kinsoku/>
        <w:wordWrap/>
        <w:overflowPunct/>
        <w:topLinePunct w:val="0"/>
        <w:autoSpaceDE/>
        <w:autoSpaceDN/>
        <w:bidi w:val="0"/>
        <w:adjustRightInd/>
        <w:snapToGrid/>
        <w:spacing w:line="560" w:lineRule="exact"/>
        <w:ind w:firstLine="800" w:firstLineChars="250"/>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项目负责人（签章）：</w:t>
      </w:r>
      <w:r>
        <w:rPr>
          <w:rStyle w:val="18"/>
          <w:rFonts w:hint="eastAsia" w:ascii="仿宋_GB2312" w:hAnsi="仿宋_GB2312" w:eastAsia="仿宋_GB2312" w:cs="仿宋_GB2312"/>
          <w:b w:val="0"/>
          <w:bCs w:val="0"/>
          <w:spacing w:val="-4"/>
          <w:sz w:val="32"/>
          <w:szCs w:val="32"/>
        </w:rPr>
        <w:t>祝贺香</w:t>
      </w:r>
    </w:p>
    <w:p>
      <w:pPr>
        <w:keepNext w:val="0"/>
        <w:keepLines w:val="0"/>
        <w:pageBreakBefore w:val="0"/>
        <w:widowControl w:val="0"/>
        <w:kinsoku/>
        <w:wordWrap/>
        <w:overflowPunct/>
        <w:topLinePunct w:val="0"/>
        <w:autoSpaceDE/>
        <w:autoSpaceDN/>
        <w:bidi w:val="0"/>
        <w:adjustRightInd/>
        <w:snapToGrid/>
        <w:spacing w:line="560" w:lineRule="exact"/>
        <w:ind w:left="273" w:firstLine="567"/>
        <w:textAlignment w:val="auto"/>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填报时间：</w:t>
      </w:r>
      <w:r>
        <w:rPr>
          <w:rStyle w:val="18"/>
          <w:rFonts w:hint="eastAsia" w:ascii="仿宋_GB2312" w:hAnsi="仿宋_GB2312" w:eastAsia="仿宋_GB2312" w:cs="仿宋_GB2312"/>
          <w:b w:val="0"/>
          <w:bCs w:val="0"/>
          <w:spacing w:val="-4"/>
          <w:sz w:val="32"/>
          <w:szCs w:val="32"/>
        </w:rPr>
        <w:t>2023年03月16日</w:t>
      </w:r>
    </w:p>
    <w:p>
      <w:pPr>
        <w:spacing w:line="540" w:lineRule="exact"/>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eastAsia" w:ascii="仿宋_GB2312" w:hAnsi="仿宋_GB2312" w:eastAsia="仿宋_GB2312" w:cs="仿宋_GB2312"/>
          <w:b w:val="0"/>
          <w:bCs w:val="0"/>
          <w:spacing w:val="-4"/>
          <w:sz w:val="32"/>
          <w:szCs w:val="32"/>
        </w:rPr>
      </w:pPr>
      <w:r>
        <w:rPr>
          <w:rFonts w:hint="eastAsia" w:ascii="黑体" w:hAnsi="黑体" w:eastAsia="黑体" w:cs="宋体"/>
          <w:bCs/>
          <w:kern w:val="0"/>
          <w:sz w:val="32"/>
          <w:szCs w:val="32"/>
        </w:rPr>
        <w:t>（一）项目概况。</w:t>
      </w:r>
      <w:r>
        <w:rPr>
          <w:rStyle w:val="18"/>
          <w:rFonts w:hint="eastAsia" w:ascii="仿宋_GB2312" w:hAnsi="仿宋_GB2312" w:eastAsia="仿宋_GB2312" w:cs="仿宋_GB2312"/>
          <w:b w:val="0"/>
          <w:bCs w:val="0"/>
          <w:spacing w:val="-4"/>
          <w:sz w:val="32"/>
          <w:szCs w:val="32"/>
        </w:rPr>
        <w:t>包括项目背景、主要内容及实施情况、资金投入和使用情况等。</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1.项目背景</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 xml:space="preserve">自2011年首届中国—亚欧博览会举办以来，中国—亚欧博览会已成功举办六届，取得一系列重要成果，2022年拟举办第七届中国—亚欧博览会。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2.实施情况</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 xml:space="preserve"> 2022年4月，自治区财政厅、商务厅联合行文财政部《关于申请第七届中国—亚欧博览会会议经费补助资金的请示》（新财企〔2022〕19号），根据《第七届中国—亚欧博览会总体工作方案》测算，第七届中国—亚欧博览会会议经费总预算9980万元，其中：重要活动、论坛和专题活动经费613万元，对口接待服务经费1478万元，招商招展推介经费3415万元，宣传及广告经费723万元，服务保障配套经费1851万元，线上博览会服务保障工作1600万元，博览会防疫配套工作经费300万元。2022年7月，自治区人民政府办公厅正式印发了《第七届中国—亚欧博览会总体工作方案》（新政办发〔2022〕43号），方案从指导思想、总体目标、时间地点主题、主宾国主宾省、主要内容、宣传工作、综合保障、组织机构、经费保障和工作要求等10个方面，对办好第七届中国—亚欧博览会提出了明确的要求，其中在经费保障中明确，由新疆向中央财政申请专项资金，用于亚欧博览会筹备工作。自治区财政做好资金保障工作，经费统一实行严格预算管理，保障各类活动顺利实施。举办时间为2022年8月25日至30日。因新疆乌鲁木齐疫情原因，经向全国清理和规范庆典研讨会论坛活动工作领导小组报备，2022年9月19日至9月22日,通过线上线下组合方式在新疆乌鲁木齐举办了第七届中国—亚欧博览会。</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2022年4月至2022年9月，按照《第七届中国—亚欧博览会专项经费预算方案》，第七届中国—亚欧博览会财政补助到位资金8817万元，到位率100%。其中：2022年4月27日以新财企〔2022〕10号、2022年9月3日以新财企〔2022〕56号下达地方财政配套财政补助经费预算7817万元；2022年7月8日，以新财企〔2022〕38号下达中央财政补助经费预算1000万元，用于开展第七届中国—亚欧博览会线上平台、主论坛、招商招展、服务保障、建设等重大活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截止到2022年12月31日，第七届中国—亚欧博览会共计执行8383.37.83万元，执行率95.08%，剩余资金433.63万元全额退回自治区财政。其中地方配套财政补助资金执行7388.83万元，执行率94.46%，主要用于第七届中国—亚欧博览会主论坛、招商招展、服务保障、建设等重大活动费用；中央财政补助执行1000万元，执行率100%，全部用于投入筹备线上博览会使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（二）项目绩效目标。包括总体目标和阶段性目标。</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该项目总体目标是发挥亚欧博览会功能定位作用发挥亚欧博览会作为国家机制性博览会作用发挥亚欧博览会助推对外开放作用 发挥亚欧博览会政策引领作用。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1.评价目的：为推进本部门预算绩效管理规范化，提高财政资金使用效益，根据《自治区本级财政支出绩效评价管理暂行办法》开展实施本次绩效评价。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2.绩效评价对象：新疆国际博览事务局承办的第七届中国-亚欧博览会财政补助经费8388.83万元项目绩效实施情况。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3.绩效评价范围：第七届中国-亚欧博览会财政补助经费项目支出绩效和整体预算执行情况。</w:t>
      </w:r>
    </w:p>
    <w:p>
      <w:pPr>
        <w:keepNext w:val="0"/>
        <w:keepLines w:val="0"/>
        <w:pageBreakBefore w:val="0"/>
        <w:widowControl w:val="0"/>
        <w:kinsoku/>
        <w:wordWrap/>
        <w:overflowPunct/>
        <w:topLinePunct w:val="0"/>
        <w:autoSpaceDE/>
        <w:autoSpaceDN/>
        <w:bidi w:val="0"/>
        <w:adjustRightInd/>
        <w:snapToGrid/>
        <w:spacing w:line="560" w:lineRule="exact"/>
        <w:ind w:firstLine="579" w:firstLineChars="181"/>
        <w:textAlignment w:val="auto"/>
        <w:rPr>
          <w:rStyle w:val="18"/>
          <w:rFonts w:hint="eastAsia" w:ascii="仿宋_GB2312" w:hAnsi="仿宋_GB2312" w:eastAsia="仿宋_GB2312" w:cs="仿宋_GB2312"/>
          <w:b w:val="0"/>
          <w:bCs w:val="0"/>
          <w:spacing w:val="-4"/>
          <w:sz w:val="32"/>
          <w:szCs w:val="32"/>
        </w:rPr>
      </w:pPr>
      <w:r>
        <w:rPr>
          <w:rFonts w:hint="eastAsia" w:ascii="黑体" w:hAnsi="黑体" w:eastAsia="黑体" w:cs="宋体"/>
          <w:bCs/>
          <w:kern w:val="0"/>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1.绩效评价原则</w:t>
      </w:r>
    </w:p>
    <w:p>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严格遵循科学规范、公正公开、绩效相关原则。</w:t>
      </w:r>
    </w:p>
    <w:p>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Style w:val="18"/>
          <w:rFonts w:hint="eastAsia" w:ascii="仿宋_GB2312" w:hAnsi="仿宋_GB2312" w:eastAsia="仿宋_GB2312" w:cs="仿宋_GB2312"/>
          <w:b w:val="0"/>
          <w:bCs w:val="0"/>
          <w:spacing w:val="-4"/>
          <w:sz w:val="32"/>
          <w:szCs w:val="32"/>
          <w:lang w:eastAsia="zh-CN"/>
        </w:rPr>
      </w:pPr>
      <w:r>
        <w:rPr>
          <w:rStyle w:val="18"/>
          <w:rFonts w:hint="eastAsia" w:ascii="仿宋_GB2312" w:hAnsi="仿宋_GB2312" w:eastAsia="仿宋_GB2312" w:cs="仿宋_GB2312"/>
          <w:b w:val="0"/>
          <w:bCs w:val="0"/>
          <w:spacing w:val="-4"/>
          <w:sz w:val="32"/>
          <w:szCs w:val="32"/>
        </w:rPr>
        <w:t>2.评价指标体系</w:t>
      </w:r>
      <w:r>
        <w:rPr>
          <w:rStyle w:val="18"/>
          <w:rFonts w:hint="eastAsia" w:ascii="仿宋_GB2312" w:hAnsi="仿宋_GB2312" w:eastAsia="仿宋_GB2312" w:cs="仿宋_GB2312"/>
          <w:b w:val="0"/>
          <w:bCs w:val="0"/>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开展绩效评价的基础资料主要通过查阅财务数据、业务部门为完成实现情况的资料以及其他重点资料、现场检查等方式。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根据实际情况，依据计划标准、行业标准、历史标准和其他经财政部门确定的标准。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根据自治区财政绩效评价工作计划和绩效评估规章制度，局党组高度重视组织开展本部门绩效工作。一是组织相关人员参加培训，熟悉相关政策规定，领会绩效评价文件精神，并根据项目实际情况及特点制定出与项目绩效目标关联度高、合理并可操作的绩效评价指标；二是具体实施评价时，为确保绩效评价工作落到实处，严格按照相关要求，认真组织开展绩效评价工作，如实填报数据、认真开展自评，汇总各部门意见，形成了项目绩效自评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单位自评标准是：预算执行10分，产出指标66分，效益指标19分，服务对象满意度指标5分。经自评，2022年度第七届中国-亚欧博览会财政补助经费项目综合评价自评得分为97.84分，其中:预算执行10分，产出指标63.84分，效益指标19分，服务对象满意度指标5分,自评结果为“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宋体"/>
          <w:bCs/>
          <w:kern w:val="0"/>
          <w:sz w:val="32"/>
          <w:szCs w:val="32"/>
        </w:rPr>
      </w:pPr>
      <w:r>
        <w:rPr>
          <w:rFonts w:hint="eastAsia" w:ascii="黑体" w:hAnsi="黑体" w:eastAsia="黑体" w:cs="宋体"/>
          <w:bCs/>
          <w:kern w:val="0"/>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在自治区人民政府、自治区财政厅、自治区商务厅的共同领导下，新疆国际博览事务局作为资金统筹管理部门，在专项资金使用中，严格按照财政部、自治区财政厅的要求，专款专用。一是秘书处高度重视招商招展和组展工作，注意协调相关部门单位，密切配合，形成招商合力。通过内外联动，点面结合，广选优商、强商。二是积极发挥援疆省市、兵团及疆内各地州市主渠道作用，委托动员国家级商协会、行业协会和专业展览公司等各方力量协助招商招展。三是为提高展会实效，加大采购商邀请力度，精心设计并增加各类产业论坛和各项贸促活动场次，四是受疫情及多种不确定经济因素的制约，制定指标时较为保守。展览环境持续向好，增长超出预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第七届中国-亚欧博览会于2022年2月启动，2022年4月至2022年9月，第七届中国—亚欧博览会财政补助批复预算资金8388.83万元，截止2022年12月31日完成资金支付8388.83万元，资金使用过程中，严格按照财政部、自治区财政厅的要求，专款专用。依托财政绩效监控系统，建立动态监控、过程控制，及时发现和纠正问题，全过程动态监控，每月向自治区财政厅反馈资金预算执行情况，严格执行财务管理制度，财务处理及时，会计核算符合《政府会计制度》的规定，办会期间形成的资产，已按照要求计入资产账簿进行管理，同时，积极探索，落实了引导展会走市场化专业化道路的要求。</w:t>
      </w:r>
    </w:p>
    <w:p>
      <w:pPr>
        <w:keepNext w:val="0"/>
        <w:keepLines w:val="0"/>
        <w:pageBreakBefore w:val="0"/>
        <w:widowControl w:val="0"/>
        <w:kinsoku/>
        <w:wordWrap/>
        <w:overflowPunct/>
        <w:topLinePunct w:val="0"/>
        <w:autoSpaceDE/>
        <w:autoSpaceDN/>
        <w:bidi w:val="0"/>
        <w:adjustRightInd/>
        <w:snapToGrid/>
        <w:spacing w:line="560" w:lineRule="exact"/>
        <w:ind w:firstLine="579" w:firstLineChars="181"/>
        <w:textAlignment w:val="auto"/>
        <w:rPr>
          <w:rFonts w:hint="eastAsia" w:ascii="仿宋_GB2312" w:hAnsi="仿宋_GB2312" w:eastAsia="仿宋_GB2312" w:cs="仿宋_GB2312"/>
          <w:b w:val="0"/>
          <w:bCs w:val="0"/>
          <w:spacing w:val="-4"/>
          <w:sz w:val="32"/>
          <w:szCs w:val="32"/>
        </w:rPr>
      </w:pPr>
      <w:r>
        <w:rPr>
          <w:rFonts w:hint="eastAsia" w:ascii="黑体" w:hAnsi="黑体" w:eastAsia="黑体" w:cs="宋体"/>
          <w:bCs/>
          <w:kern w:val="0"/>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产出指标共18个，其中：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1.</w:t>
      </w:r>
      <w:r>
        <w:rPr>
          <w:rStyle w:val="18"/>
          <w:rFonts w:hint="eastAsia" w:ascii="仿宋_GB2312" w:hAnsi="仿宋_GB2312" w:eastAsia="仿宋_GB2312" w:cs="仿宋_GB2312"/>
          <w:b w:val="0"/>
          <w:bCs w:val="0"/>
          <w:spacing w:val="-4"/>
          <w:sz w:val="32"/>
          <w:szCs w:val="32"/>
        </w:rPr>
        <w:t>举办博览会开幕式及主论坛场次=1场，实际完成1场，完成率100%。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18"/>
          <w:rFonts w:hint="eastAsia" w:ascii="仿宋_GB2312" w:hAnsi="仿宋_GB2312" w:eastAsia="仿宋_GB2312" w:cs="仿宋_GB2312"/>
          <w:b w:val="0"/>
          <w:bCs w:val="0"/>
          <w:spacing w:val="-4"/>
          <w:sz w:val="32"/>
          <w:szCs w:val="32"/>
          <w:lang w:val="en-US" w:eastAsia="zh-CN"/>
        </w:rPr>
      </w:pPr>
      <w:r>
        <w:rPr>
          <w:rStyle w:val="18"/>
          <w:rFonts w:hint="eastAsia" w:ascii="仿宋_GB2312" w:hAnsi="仿宋_GB2312" w:eastAsia="仿宋_GB2312" w:cs="仿宋_GB2312"/>
          <w:b w:val="0"/>
          <w:bCs w:val="0"/>
          <w:spacing w:val="-4"/>
          <w:sz w:val="32"/>
          <w:szCs w:val="32"/>
        </w:rPr>
        <w:t>2.开展境内招商招展及贸促推介活动场次≧31场，实际完成35场，其中13场投资促进活动，22场采购对接活动。完成率100%。</w:t>
      </w:r>
      <w:r>
        <w:rPr>
          <w:rStyle w:val="18"/>
          <w:rFonts w:hint="eastAsia" w:ascii="仿宋_GB2312" w:hAnsi="仿宋_GB2312" w:eastAsia="仿宋_GB2312" w:cs="仿宋_GB2312"/>
          <w:b w:val="0"/>
          <w:bCs w:val="0"/>
          <w:spacing w:val="-4"/>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3.开展境外招商招展及贸促推介活动场次≧4场，实际完成4场。完成率100%。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4.开展境内外论坛、研讨会等次数≧12次，实际完成10次。完成率83.33%，偏差率16.67%。</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5.博览会会展面积=9万平方米，实际完成4万平方米。完成率44.44%，偏差率55.56%.未完成原因是前期招商招展参展商积极参加，参展面积超过预期，但是受疫情影响，缩减博览会规模，所以最终为4万平方米。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6.博览会会展展位数量（个）=4200个，实际完成2104个。完成率50.1%，偏差率49.9%。</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7.境内参展企业数量（家）≧1200家，实际完成864家。完成率72%，偏差率28%。</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8.境外参展企业数量（家）≧100家，实际完成35家。完成率35%，偏差率65%</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9.境内外线上参展企业数量（家）≧1300家，实际完成3597家。完成率276.69%，偏差率-176.69%</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10.境内外与会嘉宾及参展人数（人）≧2万人，实际完成≧2万人。完成率100%。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11.博览会线上平台云业务服务技术支持保障率（%）≥90%，实际完成≥90%。完成率100%。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12.博览会参展企业到位率（%）≧80%，实际完成≧80%。完成率100%。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13.博览会形象宣传及媒体投放工作达标率（%）≥98%，实际完成≥98%。完成率100%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14.政府采购应采尽采事项验收合格率（%）≧100%，实际完成≧100%，完成率100%。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15.博览会策划组织实施完成时效性（%）=100%，实际完成=100%。完成率100%。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16.博览会经费支付及时性=100%，实际完成=100%。完成率100%。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17.博览会会务费控制率（%）保持在预算范围内，实际完成预期目标，完成率100%。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18.博览会举办时间2022年8月，实际完成2022年9月。完成率100%。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效益指标5个，其中：</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1.参展企业现场签约项目数≧300个，实际完成448个。完成率149.33%，偏差率-49.33%。</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2.参展企业现场签约项目金额（亿元）≧5000亿元，实际完成11747亿元。完成率234.94%，偏差率-134.94%。</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3.参展境内企业数量增长率（%）较上届增长80%，实际完成较上届增长130%。完成率162.5%，偏差率-62.5%。</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4.博览会国际化、专业化、市场化品牌形象进一步提升，实际完成预期目标。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5.对新疆对外贸易可持续发展的影响长期，实际完成预期目标。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（五）满意度指标完成情况分析。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满意度指标3个，其中：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1.</w:t>
      </w:r>
      <w:r>
        <w:rPr>
          <w:rStyle w:val="18"/>
          <w:rFonts w:hint="eastAsia" w:ascii="仿宋_GB2312" w:hAnsi="仿宋_GB2312" w:eastAsia="仿宋_GB2312" w:cs="仿宋_GB2312"/>
          <w:b w:val="0"/>
          <w:bCs w:val="0"/>
          <w:spacing w:val="-4"/>
          <w:sz w:val="32"/>
          <w:szCs w:val="32"/>
        </w:rPr>
        <w:t>参展企业参展满意度（%）≧80%，实际完成满意度预期目标。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2.专业观众参会满意度（%）≧80%，实际完成预期目标。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3.组展机构对承办机构满意度（%)≧80%,实际完成满意度预期目标。</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主要经验及做法、存在的问题及原因分析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（一）资金安排、使用过程中的主要经验及做法</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一是高层建设，领导重视，迅速部署，多方位联动。在中央财政部、商务部的大力支持下，自治区人</w:t>
      </w:r>
      <w:r>
        <w:rPr>
          <w:rStyle w:val="18"/>
          <w:rFonts w:hint="eastAsia" w:ascii="仿宋_GB2312" w:hAnsi="仿宋_GB2312" w:eastAsia="仿宋_GB2312" w:cs="仿宋_GB2312"/>
          <w:b w:val="0"/>
          <w:bCs w:val="0"/>
          <w:spacing w:val="-4"/>
          <w:sz w:val="32"/>
          <w:szCs w:val="32"/>
          <w:lang w:eastAsia="zh-CN"/>
        </w:rPr>
        <w:t>民</w:t>
      </w:r>
      <w:bookmarkStart w:id="0" w:name="_GoBack"/>
      <w:bookmarkEnd w:id="0"/>
      <w:r>
        <w:rPr>
          <w:rStyle w:val="18"/>
          <w:rFonts w:hint="eastAsia" w:ascii="仿宋_GB2312" w:hAnsi="仿宋_GB2312" w:eastAsia="仿宋_GB2312" w:cs="仿宋_GB2312"/>
          <w:b w:val="0"/>
          <w:bCs w:val="0"/>
          <w:spacing w:val="-4"/>
          <w:sz w:val="32"/>
          <w:szCs w:val="32"/>
        </w:rPr>
        <w:t>政府统一领导，获得中央和自治区财政支持。二是坚持问题导向，工作合力，领导班子齐心协力同上阵，业务部门承担落实责任，扎实推进各项重点工作。三是严抓绩效管理，细化预算方案，压实工作责任，提高预算执行效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Fonts w:hint="eastAsia" w:ascii="黑体" w:hAnsi="黑体" w:eastAsia="黑体" w:cs="宋体"/>
          <w:bCs/>
          <w:kern w:val="0"/>
          <w:sz w:val="32"/>
          <w:szCs w:val="32"/>
        </w:rPr>
        <w:t>（二）存在问题及原因分析</w:t>
      </w:r>
      <w:r>
        <w:rPr>
          <w:rStyle w:val="18"/>
          <w:rFonts w:hint="eastAsia" w:ascii="仿宋_GB2312" w:hAnsi="仿宋_GB2312" w:eastAsia="仿宋_GB2312" w:cs="仿宋_GB2312"/>
          <w:b w:val="0"/>
          <w:bCs w:val="0"/>
          <w:spacing w:val="-4"/>
          <w:sz w:val="32"/>
          <w:szCs w:val="32"/>
        </w:rPr>
        <w:cr/>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存在问题。新疆国际博览事务局党组高度重视财政资金的使用，坚持做到专款专用，严格按照财政资金的要求使用，并定期接受自治区财政督查，确保财政资金的合法合规性。存在问题是因追加项目时间紧，项目实施过程中因方案调整等不确定因素，给项目实施带来不确定性，项目实施评价结果与预期目标存在一定偏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2.原因分析。受疫情及多种不确定经济因素的制约，制定指标时较为保守，线下规模缩减，各地申报参加线上展览积极，线上展览环境持续向好，增长超出预期。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宋体"/>
          <w:bCs/>
          <w:kern w:val="0"/>
          <w:sz w:val="32"/>
          <w:szCs w:val="32"/>
        </w:rPr>
      </w:pPr>
      <w:r>
        <w:rPr>
          <w:rFonts w:hint="eastAsia" w:ascii="黑体" w:hAnsi="黑体" w:eastAsia="黑体" w:cs="宋体"/>
          <w:bCs/>
          <w:kern w:val="0"/>
          <w:sz w:val="32"/>
          <w:szCs w:val="32"/>
          <w:lang w:eastAsia="zh-CN"/>
        </w:rPr>
        <w:t>六</w:t>
      </w:r>
      <w:r>
        <w:rPr>
          <w:rFonts w:hint="eastAsia" w:ascii="黑体" w:hAnsi="黑体" w:eastAsia="黑体" w:cs="宋体"/>
          <w:bCs/>
          <w:kern w:val="0"/>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建议在进一步加强单位提高预算支出绩效管理意识，科学编制项目预算，提高项目预算编制的精细化水平基础上，针对项目实施具备条件考虑项目实施过程中存在实际情况改变等客观因素，对项目绩效目标进行适时调整，更加符合完善预算绩效目标，体现预算目标的真实结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建议财政继续加大对举办博览会的资金扶持力度，并提早安排下达补助资金。第七届中国—亚欧博览会作为重要外交平台全方位、多层次、全媒体、多语种宣传中央新疆工作座谈会以来新疆发生的历史性变化和取得的巨大成就，有力地宣传了新疆，宣传了我国对外开放。中央和自治区财政补助资金促进博览会发展效果显著，希望进一步加大资金扶持力度。</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_GB2312" w:hAnsi="仿宋_GB2312" w:eastAsia="仿宋_GB2312" w:cs="仿宋_GB2312"/>
          <w:bCs/>
          <w:kern w:val="0"/>
          <w:sz w:val="32"/>
          <w:szCs w:val="32"/>
          <w:lang w:eastAsia="zh-CN"/>
        </w:rPr>
      </w:pPr>
      <w:r>
        <w:rPr>
          <w:rFonts w:hint="eastAsia" w:ascii="仿宋_GB2312" w:hAnsi="仿宋_GB2312" w:eastAsia="仿宋_GB2312" w:cs="仿宋_GB2312"/>
          <w:bCs/>
          <w:kern w:val="0"/>
          <w:sz w:val="32"/>
          <w:szCs w:val="32"/>
          <w:lang w:eastAsia="zh-CN"/>
        </w:rPr>
        <w:t>无。</w:t>
      </w:r>
    </w:p>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DC784A"/>
    <w:multiLevelType w:val="singleLevel"/>
    <w:tmpl w:val="A9DC784A"/>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D2606A1"/>
    <w:rsid w:val="59D91231"/>
    <w:rsid w:val="638C4BAF"/>
    <w:rsid w:val="7BB771EE"/>
    <w:rsid w:val="FDEFD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4153</Words>
  <Characters>4604</Characters>
  <Lines>5</Lines>
  <Paragraphs>1</Paragraphs>
  <TotalTime>1</TotalTime>
  <ScaleCrop>false</ScaleCrop>
  <LinksUpToDate>false</LinksUpToDate>
  <CharactersWithSpaces>4713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2018-08-15T18:06:00Z</dcterms:created>
  <dc:creator>赵 恺（预算处）</dc:creator>
  <cp:lastModifiedBy>Administrator</cp:lastModifiedBy>
  <cp:lastPrinted>2019-01-01T02:56:00Z</cp:lastPrinted>
  <dcterms:modified xsi:type="dcterms:W3CDTF">2024-01-08T10:12:10Z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B86CCB24A755443ABEE2F2BFAF08C789</vt:lpwstr>
  </property>
</Properties>
</file>